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center"/>
        <w:rPr>
          <w:rFonts w:hint="default" w:asciiTheme="majorEastAsia" w:hAnsiTheme="majorEastAsia" w:eastAsiaTheme="majorEastAsia"/>
          <w:b w:val="1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24"/>
        </w:rPr>
        <w:t>もくじ</w:t>
      </w:r>
    </w:p>
    <w:p>
      <w:pPr>
        <w:pStyle w:val="0"/>
        <w:rPr>
          <w:rFonts w:hint="default"/>
          <w:sz w:val="24"/>
        </w:rPr>
      </w:pPr>
    </w:p>
    <w:p>
      <w:pPr>
        <w:pStyle w:val="25"/>
        <w:ind w:left="453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第１章　計画の策定にあたって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計画策定の背景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２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計画の性格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６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計画の期間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８</w:t>
      </w:r>
    </w:p>
    <w:p>
      <w:pPr>
        <w:pStyle w:val="28"/>
        <w:ind w:left="460" w:leftChars="203"/>
        <w:rPr>
          <w:rFonts w:hint="default"/>
          <w:sz w:val="24"/>
        </w:rPr>
      </w:pPr>
    </w:p>
    <w:p>
      <w:pPr>
        <w:pStyle w:val="25"/>
        <w:ind w:left="453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第２章　障がいのある人を取り巻く現状と課題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障害者手帳等の所持者数とサービスの利用者数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default" w:asciiTheme="minorEastAsia" w:hAnsiTheme="minorEastAsia" w:eastAsiaTheme="minorEastAsia"/>
          <w:sz w:val="24"/>
        </w:rPr>
        <w:t>0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障がいのある人とない人の意識、意向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25</w:t>
      </w:r>
    </w:p>
    <w:p>
      <w:pPr>
        <w:pStyle w:val="25"/>
        <w:ind w:left="453"/>
        <w:rPr>
          <w:rFonts w:hint="default" w:asciiTheme="minorEastAsia" w:hAnsiTheme="minorEastAsia" w:eastAsiaTheme="minorEastAsia"/>
          <w:sz w:val="24"/>
        </w:rPr>
      </w:pPr>
    </w:p>
    <w:p>
      <w:pPr>
        <w:pStyle w:val="25"/>
        <w:ind w:left="453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第３章　第３期新城市障害者計画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基本理念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64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基本目標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65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施策体系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68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施策の基本方針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69</w:t>
      </w:r>
    </w:p>
    <w:p>
      <w:pPr>
        <w:pStyle w:val="27"/>
        <w:ind w:left="907" w:leftChars="400"/>
        <w:rPr>
          <w:rFonts w:hint="default"/>
          <w:sz w:val="24"/>
        </w:rPr>
      </w:pPr>
      <w:r>
        <w:rPr>
          <w:rFonts w:hint="eastAsia"/>
          <w:sz w:val="24"/>
        </w:rPr>
        <w:t>基本目標Ⅰ　誰もが尊重されるまちづくり</w:t>
      </w:r>
      <w:r>
        <w:rPr>
          <w:rFonts w:hint="eastAsia"/>
          <w:sz w:val="24"/>
        </w:rPr>
        <w:tab/>
      </w:r>
      <w:r>
        <w:rPr>
          <w:rFonts w:hint="default"/>
          <w:sz w:val="24"/>
        </w:rPr>
        <w:t>69</w:t>
      </w:r>
    </w:p>
    <w:p>
      <w:pPr>
        <w:pStyle w:val="27"/>
        <w:ind w:left="907" w:leftChars="400"/>
        <w:rPr>
          <w:rFonts w:hint="default"/>
          <w:sz w:val="24"/>
        </w:rPr>
      </w:pPr>
      <w:r>
        <w:rPr>
          <w:rFonts w:hint="eastAsia"/>
          <w:sz w:val="24"/>
        </w:rPr>
        <w:t>基本目標Ⅱ　誰もが自分らしく快適に暮らせるまちづくり</w:t>
      </w:r>
      <w:r>
        <w:rPr>
          <w:rFonts w:hint="eastAsia"/>
          <w:sz w:val="24"/>
        </w:rPr>
        <w:tab/>
      </w:r>
      <w:r>
        <w:rPr>
          <w:rFonts w:hint="default"/>
          <w:sz w:val="24"/>
        </w:rPr>
        <w:t>73</w:t>
      </w:r>
    </w:p>
    <w:p>
      <w:pPr>
        <w:pStyle w:val="27"/>
        <w:ind w:left="907" w:leftChars="400"/>
        <w:rPr>
          <w:rFonts w:hint="default"/>
          <w:sz w:val="24"/>
        </w:rPr>
      </w:pPr>
      <w:r>
        <w:rPr>
          <w:rFonts w:hint="eastAsia"/>
          <w:sz w:val="24"/>
        </w:rPr>
        <w:t>基本目標Ⅲ　誰もが支え合うまちづくり</w:t>
      </w:r>
      <w:r>
        <w:rPr>
          <w:rFonts w:hint="eastAsia"/>
          <w:sz w:val="24"/>
        </w:rPr>
        <w:tab/>
      </w:r>
      <w:r>
        <w:rPr>
          <w:rFonts w:hint="default"/>
          <w:sz w:val="24"/>
        </w:rPr>
        <w:t>78</w:t>
      </w:r>
    </w:p>
    <w:p>
      <w:pPr>
        <w:pStyle w:val="27"/>
        <w:ind w:left="1020"/>
        <w:rPr>
          <w:rFonts w:hint="default"/>
          <w:sz w:val="24"/>
        </w:rPr>
      </w:pPr>
    </w:p>
    <w:p>
      <w:pPr>
        <w:pStyle w:val="25"/>
        <w:ind w:left="453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第４章　第７期新城市障害福祉計画・第３期新城市障害児福祉計画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基本理念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default" w:asciiTheme="minorEastAsia" w:hAnsiTheme="minorEastAsia" w:eastAsiaTheme="minorEastAsia"/>
          <w:sz w:val="24"/>
        </w:rPr>
        <w:t>6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基本目標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86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　第６期障害福祉計画・第２期障害児福祉計画の評価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88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第７期障害福祉計画・第３期障害児福祉計画の成果目標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92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　サービスの体系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98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６　障害福祉サービス等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100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７　地域生活支援事業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116</w:t>
      </w:r>
    </w:p>
    <w:p>
      <w:pPr>
        <w:pStyle w:val="26"/>
        <w:ind w:left="680" w:leftChars="3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８　障害児通所支援等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default" w:asciiTheme="minorEastAsia" w:hAnsiTheme="minorEastAsia" w:eastAsiaTheme="minorEastAsia"/>
          <w:sz w:val="24"/>
        </w:rPr>
        <w:t>26</w:t>
      </w:r>
    </w:p>
    <w:p>
      <w:pPr>
        <w:pStyle w:val="27"/>
        <w:ind w:left="0" w:leftChars="0"/>
        <w:rPr>
          <w:rFonts w:hint="default"/>
          <w:sz w:val="24"/>
        </w:rPr>
      </w:pPr>
    </w:p>
    <w:p>
      <w:pPr>
        <w:pStyle w:val="25"/>
        <w:ind w:left="453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第５章　計画の推進に向けて</w:t>
      </w:r>
    </w:p>
    <w:p>
      <w:pPr>
        <w:pStyle w:val="26"/>
        <w:ind w:left="794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推進体制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default" w:asciiTheme="minorEastAsia" w:hAnsiTheme="minorEastAsia" w:eastAsiaTheme="minorEastAsia"/>
          <w:sz w:val="24"/>
        </w:rPr>
        <w:t>4</w:t>
      </w:r>
    </w:p>
    <w:p>
      <w:pPr>
        <w:pStyle w:val="26"/>
        <w:ind w:left="794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進捗管理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135</w:t>
      </w:r>
    </w:p>
    <w:p>
      <w:pPr>
        <w:pStyle w:val="27"/>
        <w:ind w:left="0" w:leftChars="0"/>
        <w:rPr>
          <w:rFonts w:hint="default"/>
          <w:sz w:val="24"/>
        </w:rPr>
      </w:pPr>
    </w:p>
    <w:p>
      <w:pPr>
        <w:pStyle w:val="25"/>
        <w:ind w:left="453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第６章　資　料</w:t>
      </w:r>
    </w:p>
    <w:p>
      <w:pPr>
        <w:pStyle w:val="26"/>
        <w:ind w:left="794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計画策定の経過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default" w:asciiTheme="minorEastAsia" w:hAnsiTheme="minorEastAsia" w:eastAsiaTheme="minorEastAsia"/>
          <w:sz w:val="24"/>
        </w:rPr>
        <w:t>8</w:t>
      </w:r>
    </w:p>
    <w:p>
      <w:pPr>
        <w:pStyle w:val="26"/>
        <w:ind w:left="794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新城市障害者計画等策定委員会</w:t>
      </w:r>
      <w:r>
        <w:rPr>
          <w:rFonts w:hint="eastAsia" w:asciiTheme="minorEastAsia" w:hAnsiTheme="minorEastAsia" w:eastAsiaTheme="minorEastAsia"/>
          <w:sz w:val="24"/>
        </w:rPr>
        <w:tab/>
      </w:r>
      <w:r>
        <w:rPr>
          <w:rFonts w:hint="default" w:asciiTheme="minorEastAsia" w:hAnsiTheme="minorEastAsia" w:eastAsiaTheme="minorEastAsia"/>
          <w:sz w:val="24"/>
        </w:rPr>
        <w:t>13</w:t>
      </w:r>
      <w:r>
        <w:rPr>
          <w:rFonts w:hint="eastAsia" w:asciiTheme="minorEastAsia" w:hAnsiTheme="minorEastAsia" w:eastAsiaTheme="minorEastAsia"/>
          <w:sz w:val="24"/>
        </w:rPr>
        <w:t>9</w:t>
      </w:r>
    </w:p>
    <w:p>
      <w:pPr>
        <w:pStyle w:val="0"/>
        <w:rPr>
          <w:rFonts w:hint="default" w:ascii="メイリオ" w:hAnsi="メイリオ" w:eastAsia="メイリオ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453" w:leftChars="200"/>
        <w:rPr>
          <w:rFonts w:hint="default" w:asciiTheme="majorEastAsia" w:hAnsiTheme="majorEastAsia" w:eastAsiaTheme="majorEastAsia"/>
          <w:b w:val="1"/>
          <w:sz w:val="22"/>
          <w:shd w:val="clear" w:color="auto" w:themeFill="background1" w:themeFillTint="FF" w:themeFillShade="FF"/>
        </w:rPr>
      </w:pPr>
      <w:r>
        <w:rPr>
          <w:rFonts w:hint="eastAsia" w:asciiTheme="majorEastAsia" w:hAnsiTheme="majorEastAsia" w:eastAsiaTheme="majorEastAsia"/>
          <w:b w:val="1"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111125</wp:posOffset>
                </wp:positionV>
                <wp:extent cx="5615940" cy="863600"/>
                <wp:effectExtent l="635" t="635" r="29845" b="10795"/>
                <wp:wrapNone/>
                <wp:docPr id="1026" name="四角形: 角を丸くする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: 角を丸くする 1"/>
                      <wps:cNvSpPr/>
                      <wps:spPr>
                        <a:xfrm>
                          <a:off x="0" y="0"/>
                          <a:ext cx="5615940" cy="863600"/>
                        </a:xfrm>
                        <a:prstGeom prst="roundRect">
                          <a:avLst>
                            <a:gd name="adj" fmla="val 1289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1" style="mso-wrap-distance-right:9pt;mso-wrap-distance-bottom:0pt;margin-top:8.75pt;mso-position-vertical-relative:text;mso-position-horizontal-relative:text;position:absolute;height:68pt;mso-wrap-distance-top:0pt;width:442.2pt;mso-wrap-distance-left:9pt;margin-left:11.7pt;z-index:-503316478;" o:spid="_x0000_s1026" o:allowincell="t" o:allowoverlap="t" filled="f" stroked="t" strokecolor="#000000 [3213]" strokeweight="0.5pt" o:spt="2" arcsize="8450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2"/>
          <w:shd w:val="clear" w:color="auto" w:themeFill="background1" w:themeFillTint="FF" w:themeFillShade="FF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2"/>
          <w:shd w:val="clear" w:color="auto" w:themeFill="background1" w:themeFillTint="FF" w:themeFillShade="FF"/>
        </w:rPr>
        <w:t>○「障がい」、「障害」の表記について</w:t>
      </w:r>
      <w:r>
        <w:rPr>
          <w:rFonts w:hint="eastAsia" w:asciiTheme="majorEastAsia" w:hAnsiTheme="majorEastAsia" w:eastAsiaTheme="majorEastAsia"/>
          <w:b w:val="1"/>
          <w:sz w:val="22"/>
          <w:shd w:val="clear" w:color="auto" w:themeFill="background1" w:themeFillTint="FF" w:themeFillShade="FF"/>
        </w:rPr>
        <w:t xml:space="preserve"> </w:t>
      </w:r>
    </w:p>
    <w:p>
      <w:pPr>
        <w:pStyle w:val="0"/>
        <w:ind w:left="453" w:leftChars="200" w:right="227" w:rightChars="100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「障害」の表記について、新城市では、法律等で規定されている名称や用語等を除き、「障がい」という表記を用いています。</w:t>
      </w:r>
    </w:p>
    <w:p>
      <w:pPr>
        <w:pStyle w:val="0"/>
        <w:ind w:left="453" w:leftChars="200" w:right="227" w:rightChars="100"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このため、この計画では「障がい」と「障害」の表記が混在しています。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after="70" w:afterLines="20" w:afterAutospacing="0"/>
        <w:ind w:left="453" w:leftChars="200"/>
        <w:rPr>
          <w:rFonts w:hint="default"/>
          <w:sz w:val="24"/>
        </w:rPr>
      </w:pPr>
      <w:r>
        <w:rPr>
          <w:rFonts w:hint="eastAsia" w:asciiTheme="majorEastAsia" w:hAnsiTheme="majorEastAsia" w:eastAsiaTheme="majorEastAsia"/>
          <w:b w:val="1"/>
          <w:sz w:val="22"/>
          <w:shd w:val="clear" w:color="auto" w:themeFill="background1" w:themeFillTint="FF" w:themeFillShade="FF"/>
        </w:rPr>
        <w:t>○表紙の絵</w:t>
      </w:r>
    </w:p>
    <w:tbl>
      <w:tblPr>
        <w:tblStyle w:val="32"/>
        <w:tblW w:w="8221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4110"/>
        <w:gridCol w:w="4111"/>
      </w:tblGrid>
      <w:tr>
        <w:trPr/>
        <w:tc>
          <w:tcPr>
            <w:tcW w:w="4110" w:type="dxa"/>
            <w:vAlign w:val="top"/>
          </w:tcPr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＜左上＞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「いちごいっぱい」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</w:t>
            </w:r>
            <w:r>
              <w:rPr>
                <w:rFonts w:hint="eastAsia"/>
                <w:sz w:val="22"/>
              </w:rPr>
              <w:t>Natsume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＜右上＞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「花火」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高安康美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110" w:type="dxa"/>
            <w:vAlign w:val="top"/>
          </w:tcPr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＜左下＞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「無題」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原　悠介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</w:tc>
        <w:tc>
          <w:tcPr>
            <w:tcW w:w="4111" w:type="dxa"/>
            <w:vAlign w:val="top"/>
          </w:tcPr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＜右下＞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「無題」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佐藤　梢</w:t>
            </w:r>
          </w:p>
          <w:p>
            <w:pPr>
              <w:pStyle w:val="0"/>
              <w:ind w:right="453" w:rightChars="20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before="70" w:beforeLines="20" w:beforeAutospacing="0"/>
        <w:ind w:left="670" w:leftChars="200" w:right="453" w:rightChars="200" w:hanging="217" w:hangingChars="100"/>
        <w:rPr>
          <w:rFonts w:hint="default"/>
          <w:sz w:val="20"/>
        </w:rPr>
      </w:pPr>
      <w:r>
        <w:rPr>
          <w:rFonts w:hint="eastAsia"/>
          <w:sz w:val="20"/>
        </w:rPr>
        <w:t>※表紙には、レインボーはうす（一点モノ工房）の皆さんの作品を使用しています。</w:t>
      </w:r>
    </w:p>
    <w:sectPr>
      <w:type w:val="continuous"/>
      <w:pgSz w:w="11906" w:h="16838"/>
      <w:pgMar w:top="1701" w:right="1418" w:bottom="1134" w:left="1418" w:header="1134" w:footer="567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oc 2"/>
    <w:basedOn w:val="0"/>
    <w:next w:val="0"/>
    <w:link w:val="0"/>
    <w:uiPriority w:val="0"/>
    <w:pPr>
      <w:autoSpaceDE w:val="0"/>
      <w:autoSpaceDN w:val="0"/>
      <w:ind w:left="210" w:leftChars="100"/>
    </w:pPr>
    <w:rPr>
      <w:rFonts w:ascii="ＭＳ 明朝" w:hAnsi="ＭＳ 明朝" w:eastAsia="ＭＳ ゴシック"/>
      <w:sz w:val="18"/>
    </w:rPr>
  </w:style>
  <w:style w:type="paragraph" w:styleId="16">
    <w:name w:val="header"/>
    <w:basedOn w:val="0"/>
    <w:next w:val="16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toc 1"/>
    <w:basedOn w:val="0"/>
    <w:next w:val="0"/>
    <w:link w:val="0"/>
    <w:uiPriority w:val="0"/>
  </w:style>
  <w:style w:type="character" w:styleId="18" w:customStyle="1">
    <w:name w:val="ヘッダー (文字)"/>
    <w:basedOn w:val="10"/>
    <w:next w:val="18"/>
    <w:link w:val="16"/>
    <w:uiPriority w:val="0"/>
    <w:rPr>
      <w:rFonts w:asciiTheme="minorEastAsia" w:hAnsiTheme="minorEastAsia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Theme="minorEastAsia" w:hAnsiTheme="minorEastAsia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 w:customStyle="1">
    <w:name w:val="見出し 1 (文字)"/>
    <w:basedOn w:val="10"/>
    <w:next w:val="23"/>
    <w:link w:val="1"/>
    <w:uiPriority w:val="0"/>
    <w:rPr>
      <w:rFonts w:asciiTheme="majorHAnsi" w:hAnsiTheme="majorHAnsi" w:eastAsiaTheme="majorEastAsia"/>
      <w:sz w:val="24"/>
    </w:rPr>
  </w:style>
  <w:style w:type="paragraph" w:styleId="24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b w:val="1"/>
      <w:color w:val="366092" w:themeColor="accent1" w:themeShade="BF"/>
      <w:kern w:val="0"/>
      <w:sz w:val="28"/>
    </w:rPr>
  </w:style>
  <w:style w:type="paragraph" w:styleId="25" w:customStyle="1">
    <w:name w:val="もくじ1"/>
    <w:basedOn w:val="0"/>
    <w:next w:val="25"/>
    <w:link w:val="0"/>
    <w:uiPriority w:val="0"/>
    <w:qFormat/>
    <w:pPr>
      <w:autoSpaceDE w:val="0"/>
      <w:autoSpaceDN w:val="0"/>
      <w:ind w:left="200" w:leftChars="200"/>
    </w:pPr>
    <w:rPr>
      <w:rFonts w:ascii="ＤＦ平成明朝体W7" w:hAnsi="ＤＦ平成明朝体W7" w:eastAsia="ＤＦ平成明朝体W7"/>
      <w:sz w:val="28"/>
    </w:rPr>
  </w:style>
  <w:style w:type="paragraph" w:styleId="26" w:customStyle="1">
    <w:name w:val="もくじ2"/>
    <w:basedOn w:val="0"/>
    <w:next w:val="26"/>
    <w:link w:val="0"/>
    <w:uiPriority w:val="0"/>
    <w:qFormat/>
    <w:pPr>
      <w:tabs>
        <w:tab w:val="right" w:leader="middleDot" w:pos="9061"/>
      </w:tabs>
      <w:autoSpaceDE w:val="0"/>
      <w:autoSpaceDN w:val="0"/>
      <w:ind w:left="350" w:leftChars="350"/>
    </w:pPr>
    <w:rPr>
      <w:rFonts w:ascii="ＭＳ 明朝" w:hAnsi="ＭＳ 明朝" w:eastAsia="ＤＦ平成明朝体W7"/>
    </w:rPr>
  </w:style>
  <w:style w:type="paragraph" w:styleId="27" w:customStyle="1">
    <w:name w:val="もくじ3"/>
    <w:basedOn w:val="0"/>
    <w:next w:val="27"/>
    <w:link w:val="0"/>
    <w:uiPriority w:val="0"/>
    <w:qFormat/>
    <w:pPr>
      <w:tabs>
        <w:tab w:val="right" w:leader="middleDot" w:pos="9061"/>
      </w:tabs>
      <w:autoSpaceDE w:val="0"/>
      <w:autoSpaceDN w:val="0"/>
      <w:ind w:left="450" w:leftChars="450"/>
    </w:pPr>
  </w:style>
  <w:style w:type="paragraph" w:styleId="28" w:customStyle="1">
    <w:name w:val="もくじ4"/>
    <w:basedOn w:val="27"/>
    <w:next w:val="28"/>
    <w:link w:val="0"/>
    <w:uiPriority w:val="0"/>
    <w:qFormat/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22</Words>
  <Characters>625</Characters>
  <Application>JUST Note</Application>
  <Lines>90</Lines>
  <Paragraphs>49</Paragraphs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2023-09-27T09:21:00Z</cp:lastPrinted>
  <dcterms:created xsi:type="dcterms:W3CDTF">2017-12-27T07:01:00Z</dcterms:created>
  <dcterms:modified xsi:type="dcterms:W3CDTF">2024-03-27T01:38:15Z</dcterms:modified>
  <cp:revision>35</cp:revision>
</cp:coreProperties>
</file>