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様式第８（第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571"/>
        <w:gridCol w:w="1572"/>
        <w:gridCol w:w="2137"/>
        <w:gridCol w:w="2681"/>
      </w:tblGrid>
      <w:tr>
        <w:trPr>
          <w:trHeight w:val="4732" w:hRule="atLeast"/>
        </w:trPr>
        <w:tc>
          <w:tcPr>
            <w:tcW w:w="963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騒音の防止の方法変更届出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新　</w:t>
            </w:r>
            <w:r>
              <w:rPr>
                <w:rFonts w:hint="eastAsia"/>
                <w:spacing w:val="105"/>
              </w:rPr>
              <w:t>城市長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住　　所</w:t>
            </w:r>
          </w:p>
          <w:p>
            <w:pPr>
              <w:pStyle w:val="0"/>
              <w:ind w:leftChars="0" w:firstLine="3120" w:firstLineChars="1300"/>
              <w:rPr>
                <w:rFonts w:hint="eastAsia"/>
              </w:rPr>
            </w:pPr>
            <w:r>
              <w:rPr>
                <w:rFonts w:hint="eastAsia"/>
              </w:rPr>
              <w:t>届出者　郵便番号</w:t>
            </w:r>
          </w:p>
          <w:p>
            <w:pPr>
              <w:pStyle w:val="0"/>
              <w:tabs>
                <w:tab w:val="left" w:leader="none" w:pos="4069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（名称及び代表者氏名）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県民の生活環境の保全等に関する条例第９条第２項の規定により、騒音の防止の方法の変更について、次のとおり届け出ます。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28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騒音の防止の方法</w:t>
            </w:r>
          </w:p>
        </w:tc>
        <w:tc>
          <w:tcPr>
            <w:tcW w:w="15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変更後</w:t>
            </w: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3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審査結果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34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14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騒音の防止の方法の欄の別紙の記載については、変更前及び変更後の内容を対照させること。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２　連絡責任者の所属、氏名及び電話番号を記載した書類を添付すること。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３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４　届出書及び別紙の用紙の大きさは、図面、表等やむを得ないものを除き、日本産業規格Ａ４とすること。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2024-04-18T05:46:36Z</dcterms:modified>
  <cp:revision>5</cp:revision>
</cp:coreProperties>
</file>