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tbl>
      <w:tblPr>
        <w:tblStyle w:val="15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571"/>
        <w:gridCol w:w="1572"/>
        <w:gridCol w:w="2137"/>
        <w:gridCol w:w="2681"/>
      </w:tblGrid>
      <w:tr>
        <w:trPr>
          <w:trHeight w:val="4732" w:hRule="atLeast"/>
        </w:trPr>
        <w:tc>
          <w:tcPr>
            <w:tcW w:w="963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振動の防止の方法変更届出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県民の生活環境の保全等に関する条例第９条第２項の規定により、振動の防止の方法の変更について、次のとおり届け出ます。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28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5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3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審査結果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34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14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振動の防止の方法の欄の別紙の記載については、変更前及び変更後の内容を対照させること。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２　連絡責任者の所属、氏名及び電話番号を記載した書</w:t>
      </w:r>
      <w:bookmarkStart w:id="0" w:name="_GoBack"/>
      <w:bookmarkEnd w:id="0"/>
      <w:r>
        <w:rPr>
          <w:rFonts w:hint="eastAsia"/>
        </w:rPr>
        <w:t>類を添付すること。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３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４　届出書及び別紙の用紙の大きさは、図面、表等やむを得ないものを除き、日本産業規格Ａ４とすること。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2024-04-18T05:46:36Z</dcterms:modified>
  <cp:revision>6</cp:revision>
</cp:coreProperties>
</file>