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tbl>
      <w:tblPr>
        <w:tblStyle w:val="15"/>
        <w:tblW w:w="963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571"/>
        <w:gridCol w:w="1572"/>
        <w:gridCol w:w="2137"/>
        <w:gridCol w:w="2681"/>
      </w:tblGrid>
      <w:tr>
        <w:trPr>
          <w:trHeight w:val="4732" w:hRule="atLeast"/>
        </w:trPr>
        <w:tc>
          <w:tcPr>
            <w:tcW w:w="96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振動の防止の方法変更届出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県民の生活環境の保全等に関する条例第９条第２項の規定により、振動の防止の方法の変更について、次のとおり届け出ます。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28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5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3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4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振動の防止の方法の欄の別紙の記載については、変更前及び変更後の内容を対照させること。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連絡責任者の所属、氏名及び電話番号を記載した書</w:t>
      </w:r>
      <w:bookmarkStart w:id="0" w:name="_GoBack"/>
      <w:bookmarkEnd w:id="0"/>
      <w:r>
        <w:rPr>
          <w:rFonts w:hint="eastAsia"/>
        </w:rPr>
        <w:t>類を添付すること。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４　届出書及び別紙の用紙の大きさは、図面、表等やむを得ないものを除き、日本産業規格Ａ４とすること。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2024-04-18T05:46:36Z</dcterms:modified>
  <cp:revision>6</cp:revision>
</cp:coreProperties>
</file>